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821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Мотошина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Николая Андреевича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12.08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00 час. 01 мин.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>18810</w:t>
      </w:r>
      <w:r>
        <w:rPr>
          <w:rFonts w:ascii="Times New Roman" w:eastAsia="Times New Roman" w:hAnsi="Times New Roman" w:cs="Times New Roman"/>
          <w:sz w:val="25"/>
          <w:szCs w:val="25"/>
        </w:rPr>
        <w:t>586250512048732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 xml:space="preserve">овой судья установил </w:t>
      </w:r>
      <w:r>
        <w:rPr>
          <w:rFonts w:ascii="Times New Roman" w:eastAsia="Times New Roman" w:hAnsi="Times New Roman" w:cs="Times New Roman"/>
          <w:sz w:val="25"/>
          <w:szCs w:val="25"/>
        </w:rPr>
        <w:t>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  <w:sz w:val="25"/>
          <w:szCs w:val="25"/>
        </w:rPr>
        <w:t>исследованными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судом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10.09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12.05.2025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реестром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уведомлением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 его действия по факту неуплаты </w:t>
      </w:r>
      <w:r>
        <w:rPr>
          <w:rFonts w:ascii="Times New Roman" w:eastAsia="Times New Roman" w:hAnsi="Times New Roman" w:cs="Times New Roman"/>
          <w:sz w:val="25"/>
          <w:szCs w:val="25"/>
        </w:rPr>
        <w:t>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Мотошин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Н.А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нарушителю, суд учитывает личность правонарушителя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Мотошина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Николая Андреевича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0412365400285008212520105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